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4C6" w:rsidRPr="0077398B" w:rsidRDefault="005904C6">
      <w:pPr>
        <w:pStyle w:val="berschrift1"/>
        <w:spacing w:before="0" w:after="0" w:line="276" w:lineRule="auto"/>
        <w:jc w:val="left"/>
      </w:pPr>
      <w:r w:rsidRPr="0077398B">
        <w:t>WIRTGEN au Symposium Mines Guinée 2017</w:t>
      </w:r>
    </w:p>
    <w:p w:rsidR="005904C6" w:rsidRPr="0077398B" w:rsidRDefault="005904C6" w:rsidP="002E765F">
      <w:pPr>
        <w:pStyle w:val="Text"/>
      </w:pPr>
    </w:p>
    <w:p w:rsidR="005904C6" w:rsidRPr="0077398B" w:rsidRDefault="005904C6" w:rsidP="00A25421">
      <w:pPr>
        <w:pStyle w:val="Text"/>
        <w:spacing w:line="276" w:lineRule="auto"/>
        <w:rPr>
          <w:rStyle w:val="Hervorhebung"/>
        </w:rPr>
      </w:pPr>
      <w:r w:rsidRPr="0077398B">
        <w:rPr>
          <w:rStyle w:val="Hervorhebung"/>
        </w:rPr>
        <w:t xml:space="preserve">WIRTGEN se présente </w:t>
      </w:r>
      <w:r>
        <w:rPr>
          <w:rStyle w:val="Hervorhebung"/>
        </w:rPr>
        <w:t xml:space="preserve">au monde professionnel </w:t>
      </w:r>
      <w:r w:rsidRPr="0077398B">
        <w:rPr>
          <w:rStyle w:val="Hervorhebung"/>
        </w:rPr>
        <w:t xml:space="preserve">comme </w:t>
      </w:r>
      <w:r>
        <w:rPr>
          <w:rStyle w:val="Hervorhebung"/>
        </w:rPr>
        <w:t xml:space="preserve">un </w:t>
      </w:r>
      <w:r w:rsidRPr="0077398B">
        <w:rPr>
          <w:rStyle w:val="Hervorhebung"/>
        </w:rPr>
        <w:t>partenaire fiable de l’exploitation minière au 5</w:t>
      </w:r>
      <w:r w:rsidRPr="0077398B">
        <w:rPr>
          <w:rStyle w:val="Hervorhebung"/>
          <w:vertAlign w:val="superscript"/>
        </w:rPr>
        <w:t>e</w:t>
      </w:r>
      <w:r w:rsidRPr="0077398B">
        <w:rPr>
          <w:rStyle w:val="Hervorhebung"/>
        </w:rPr>
        <w:t xml:space="preserve"> Symposium Mines Guinée, dans la capitale de Conakry.</w:t>
      </w:r>
      <w:r w:rsidR="00A17FF5">
        <w:rPr>
          <w:rStyle w:val="Hervorhebung"/>
        </w:rPr>
        <w:t xml:space="preserve"> </w:t>
      </w:r>
      <w:r w:rsidRPr="0077398B">
        <w:rPr>
          <w:rStyle w:val="Hervorhebung"/>
        </w:rPr>
        <w:t xml:space="preserve">Fort de plus de 30 années d’expérience </w:t>
      </w:r>
      <w:r>
        <w:rPr>
          <w:rStyle w:val="Hervorhebung"/>
        </w:rPr>
        <w:t xml:space="preserve">au niveau </w:t>
      </w:r>
      <w:r w:rsidRPr="0077398B">
        <w:rPr>
          <w:rStyle w:val="Hervorhebung"/>
        </w:rPr>
        <w:t>international dans le secteur de l’exploitation minière, WIRTGEN dispose de technologies sophistiquées</w:t>
      </w:r>
      <w:r>
        <w:rPr>
          <w:rStyle w:val="Hervorhebung"/>
        </w:rPr>
        <w:t>,</w:t>
      </w:r>
      <w:r w:rsidRPr="0077398B">
        <w:rPr>
          <w:rStyle w:val="Hervorhebung"/>
        </w:rPr>
        <w:t xml:space="preserve"> </w:t>
      </w:r>
      <w:r>
        <w:rPr>
          <w:rStyle w:val="Hervorhebung"/>
        </w:rPr>
        <w:t>éprouvées dans</w:t>
      </w:r>
      <w:r w:rsidRPr="0077398B">
        <w:rPr>
          <w:rStyle w:val="Hervorhebung"/>
        </w:rPr>
        <w:t xml:space="preserve"> la pratique</w:t>
      </w:r>
      <w:r>
        <w:rPr>
          <w:rStyle w:val="Hervorhebung"/>
        </w:rPr>
        <w:t xml:space="preserve"> et</w:t>
      </w:r>
      <w:r w:rsidRPr="0077398B">
        <w:rPr>
          <w:rStyle w:val="Hervorhebung"/>
        </w:rPr>
        <w:t xml:space="preserve"> parfaitement adaptées aux chantiers </w:t>
      </w:r>
      <w:r>
        <w:rPr>
          <w:rStyle w:val="Hervorhebung"/>
        </w:rPr>
        <w:t xml:space="preserve">en </w:t>
      </w:r>
      <w:r w:rsidRPr="0077398B">
        <w:rPr>
          <w:rStyle w:val="Hervorhebung"/>
        </w:rPr>
        <w:t>conditions extrêmes.</w:t>
      </w:r>
      <w:r w:rsidRPr="0077398B">
        <w:t xml:space="preserve"> </w:t>
      </w:r>
      <w:r w:rsidRPr="0077398B">
        <w:rPr>
          <w:b/>
        </w:rPr>
        <w:t>Avec plus de</w:t>
      </w:r>
      <w:r w:rsidRPr="0077398B">
        <w:t xml:space="preserve"> </w:t>
      </w:r>
      <w:r w:rsidRPr="0077398B">
        <w:rPr>
          <w:rStyle w:val="Hervorhebung"/>
        </w:rPr>
        <w:t>500 projets de Surface Mining couronnés de succès</w:t>
      </w:r>
      <w:r w:rsidRPr="00EE6050">
        <w:rPr>
          <w:b/>
        </w:rPr>
        <w:t xml:space="preserve"> </w:t>
      </w:r>
      <w:r w:rsidRPr="0077398B">
        <w:rPr>
          <w:b/>
        </w:rPr>
        <w:t>à son actif</w:t>
      </w:r>
      <w:r w:rsidRPr="0077398B">
        <w:rPr>
          <w:rStyle w:val="Hervorhebung"/>
        </w:rPr>
        <w:t>, WIRTGEN bénéficie de connaissances spécialisées et d’expérience en applications qui viennent s’ajouter à sa gamme de prestations</w:t>
      </w:r>
      <w:r>
        <w:rPr>
          <w:rStyle w:val="Hervorhebung"/>
        </w:rPr>
        <w:t>,</w:t>
      </w:r>
      <w:r w:rsidRPr="0077398B">
        <w:rPr>
          <w:rStyle w:val="Hervorhebung"/>
        </w:rPr>
        <w:t xml:space="preserve"> </w:t>
      </w:r>
      <w:r>
        <w:rPr>
          <w:rStyle w:val="Hervorhebung"/>
        </w:rPr>
        <w:t>permettant ainsi</w:t>
      </w:r>
      <w:r w:rsidRPr="0077398B">
        <w:rPr>
          <w:rStyle w:val="Hervorhebung"/>
        </w:rPr>
        <w:t xml:space="preserve"> d’offrir aux clients une assistance complète et partenariale. </w:t>
      </w:r>
    </w:p>
    <w:p w:rsidR="005904C6" w:rsidRPr="0077398B" w:rsidRDefault="005904C6" w:rsidP="007658CA">
      <w:pPr>
        <w:pStyle w:val="Text"/>
        <w:spacing w:line="276" w:lineRule="auto"/>
        <w:rPr>
          <w:rStyle w:val="Hervorhebung"/>
        </w:rPr>
      </w:pPr>
    </w:p>
    <w:p w:rsidR="005904C6" w:rsidRPr="0077398B" w:rsidRDefault="005904C6" w:rsidP="002A7D4E">
      <w:pPr>
        <w:pStyle w:val="Text"/>
        <w:spacing w:line="276" w:lineRule="auto"/>
        <w:rPr>
          <w:b/>
        </w:rPr>
      </w:pPr>
      <w:r w:rsidRPr="0077398B">
        <w:rPr>
          <w:b/>
        </w:rPr>
        <w:t>L’expertise technique sur le continent africain</w:t>
      </w:r>
    </w:p>
    <w:p w:rsidR="005904C6" w:rsidRPr="0077398B" w:rsidRDefault="005904C6" w:rsidP="002A7D4E">
      <w:pPr>
        <w:pStyle w:val="Text"/>
        <w:spacing w:line="276" w:lineRule="auto"/>
      </w:pPr>
      <w:r w:rsidRPr="0077398B">
        <w:t xml:space="preserve">Avec ses solutions à la fois économiques et écologiques, WIRTGEN </w:t>
      </w:r>
      <w:r>
        <w:t>dispose d’une présence active</w:t>
      </w:r>
      <w:r w:rsidRPr="0077398B">
        <w:t xml:space="preserve"> depuis maintenant plus de trois décennies sur le marché africain. Outre les machines, les sociétés locales de vente et de service du WIRTGEN Group en Afrique du Sud ainsi que des revendeurs triés sur le volet </w:t>
      </w:r>
      <w:r>
        <w:t xml:space="preserve">garantissent des temps de réaction rapides </w:t>
      </w:r>
      <w:r w:rsidRPr="0077398B">
        <w:t xml:space="preserve">dans les autres </w:t>
      </w:r>
      <w:r>
        <w:t>É</w:t>
      </w:r>
      <w:r w:rsidRPr="0077398B">
        <w:t>tats africains grâce à un dense réseau de service. L’assistance technique s’effectue directement sur l’exploitation minière ou bien dans des ateliers spécialement conçus pour les engins de grandes dimensions. L’intelligent concept logistique assure un approvisionnement continu en pièces de rechange d’origine. En outre, les experts WIRTGEN soutiennent les clients à tout moment avec une planification de projet sur mesure élaborée</w:t>
      </w:r>
      <w:r w:rsidRPr="00BF6DC3">
        <w:t xml:space="preserve"> </w:t>
      </w:r>
      <w:r w:rsidRPr="0077398B">
        <w:t xml:space="preserve">sur site. </w:t>
      </w:r>
    </w:p>
    <w:p w:rsidR="005904C6" w:rsidRPr="0077398B" w:rsidRDefault="005904C6" w:rsidP="002A7D4E">
      <w:pPr>
        <w:pStyle w:val="Text"/>
        <w:spacing w:line="276" w:lineRule="auto"/>
        <w:rPr>
          <w:lang w:eastAsia="de-DE"/>
        </w:rPr>
      </w:pPr>
    </w:p>
    <w:p w:rsidR="005904C6" w:rsidRPr="0077398B" w:rsidRDefault="005904C6" w:rsidP="002A7D4E">
      <w:pPr>
        <w:pStyle w:val="Text"/>
        <w:spacing w:line="276" w:lineRule="auto"/>
        <w:rPr>
          <w:b/>
        </w:rPr>
      </w:pPr>
      <w:r w:rsidRPr="0077398B">
        <w:rPr>
          <w:b/>
        </w:rPr>
        <w:t>Une gamme de produits performante pour une grande flexibilité d’applications</w:t>
      </w:r>
    </w:p>
    <w:p w:rsidR="005904C6" w:rsidRPr="0077398B" w:rsidRDefault="005904C6" w:rsidP="002A7D4E">
      <w:pPr>
        <w:pStyle w:val="Text"/>
        <w:spacing w:line="276" w:lineRule="auto"/>
      </w:pPr>
      <w:r w:rsidRPr="0077398B">
        <w:t xml:space="preserve">Avec les Surface Miner 2200 SM /2200 SM 3.8, 2500 SM et 4200 SM, WIRTGEN propose à ses clients trois catégories de puissance dont la configuration variable s’adapte à la spécificité de chaque projet. </w:t>
      </w:r>
    </w:p>
    <w:p w:rsidR="005904C6" w:rsidRPr="0077398B" w:rsidRDefault="005904C6" w:rsidP="002A7D4E">
      <w:pPr>
        <w:pStyle w:val="Text"/>
        <w:spacing w:line="276" w:lineRule="auto"/>
      </w:pPr>
      <w:r w:rsidRPr="0077398B">
        <w:t>En effet, le</w:t>
      </w:r>
      <w:r>
        <w:t>s</w:t>
      </w:r>
      <w:r w:rsidRPr="0077398B">
        <w:t xml:space="preserve"> Surface Miner taille</w:t>
      </w:r>
      <w:r>
        <w:t>nt</w:t>
      </w:r>
      <w:r w:rsidRPr="0077398B">
        <w:t xml:space="preserve"> et concasse</w:t>
      </w:r>
      <w:r>
        <w:t>nt</w:t>
      </w:r>
      <w:r w:rsidRPr="0077398B">
        <w:t xml:space="preserve"> la roche avec un tambour de taille spécial, puis la charge</w:t>
      </w:r>
      <w:r>
        <w:t>nt</w:t>
      </w:r>
      <w:r w:rsidRPr="0077398B">
        <w:t xml:space="preserve"> en une seule opération sur un tombereau par l’intermédiaire d’un </w:t>
      </w:r>
      <w:r>
        <w:t>robuste</w:t>
      </w:r>
      <w:r w:rsidRPr="0077398B">
        <w:t xml:space="preserve"> système de convoiement. Le matériau peut également être déposé en cordon entre les trains de chenilles (procédé </w:t>
      </w:r>
      <w:proofErr w:type="spellStart"/>
      <w:r w:rsidRPr="0077398B">
        <w:t>Windrow</w:t>
      </w:r>
      <w:proofErr w:type="spellEnd"/>
      <w:r w:rsidRPr="0077398B">
        <w:t xml:space="preserve">) ou </w:t>
      </w:r>
      <w:r>
        <w:t xml:space="preserve">encore </w:t>
      </w:r>
      <w:r w:rsidRPr="0077398B">
        <w:t xml:space="preserve">déversé à côté de la machine. Ces trois différentes méthodes rendent un Surface Miner WIRTGEN très souple d’utilisation. </w:t>
      </w:r>
    </w:p>
    <w:p w:rsidR="005904C6" w:rsidRPr="0077398B" w:rsidRDefault="005904C6" w:rsidP="002A7D4E">
      <w:pPr>
        <w:pStyle w:val="Text"/>
        <w:spacing w:line="276" w:lineRule="auto"/>
      </w:pPr>
      <w:r w:rsidRPr="0077398B">
        <w:t xml:space="preserve">Avec une largeur de taille allant de 2,20 m à 4,20 m, il peut travailler sur une profondeur de </w:t>
      </w:r>
      <w:smartTag w:uri="urn:schemas-microsoft-com:office:smarttags" w:element="metricconverter">
        <w:smartTagPr>
          <w:attr w:name="ProductID" w:val="0 cm"/>
        </w:smartTagPr>
        <w:r w:rsidRPr="0077398B">
          <w:t>0 cm</w:t>
        </w:r>
      </w:smartTag>
      <w:r w:rsidRPr="0077398B">
        <w:t xml:space="preserve"> à </w:t>
      </w:r>
      <w:smartTag w:uri="urn:schemas-microsoft-com:office:smarttags" w:element="metricconverter">
        <w:smartTagPr>
          <w:attr w:name="ProductID" w:val="83 cm"/>
        </w:smartTagPr>
        <w:r w:rsidRPr="0077398B">
          <w:t>83 cm</w:t>
        </w:r>
      </w:smartTag>
      <w:r w:rsidRPr="0077398B">
        <w:t xml:space="preserve"> avec une résistance à la compression </w:t>
      </w:r>
      <w:proofErr w:type="spellStart"/>
      <w:r w:rsidRPr="0077398B">
        <w:t>uniaxiale</w:t>
      </w:r>
      <w:proofErr w:type="spellEnd"/>
      <w:r w:rsidRPr="0077398B">
        <w:t xml:space="preserve"> pouvant atteindre 120 </w:t>
      </w:r>
      <w:proofErr w:type="spellStart"/>
      <w:r w:rsidRPr="0077398B">
        <w:t>MPa</w:t>
      </w:r>
      <w:proofErr w:type="spellEnd"/>
      <w:r w:rsidRPr="0077398B">
        <w:t>. Certaines machines spéciales permettent même de tailler du granite dur dont la résistance à la compression peut aller jusqu’à 260 </w:t>
      </w:r>
      <w:proofErr w:type="spellStart"/>
      <w:r w:rsidRPr="0077398B">
        <w:t>MPa</w:t>
      </w:r>
      <w:proofErr w:type="spellEnd"/>
      <w:r w:rsidRPr="0077398B">
        <w:t xml:space="preserve">. WIRTGEN </w:t>
      </w:r>
      <w:r w:rsidRPr="0077398B">
        <w:lastRenderedPageBreak/>
        <w:t xml:space="preserve">est le seul constructeur à offrir une plage de rendements allant jusqu’à 3 000 t par heure avec chargement direct par convoyeur. </w:t>
      </w:r>
    </w:p>
    <w:p w:rsidR="005904C6" w:rsidRPr="0077398B" w:rsidRDefault="005904C6" w:rsidP="002A7D4E">
      <w:pPr>
        <w:pStyle w:val="Text"/>
        <w:spacing w:line="276" w:lineRule="auto"/>
        <w:rPr>
          <w:lang w:eastAsia="de-DE"/>
        </w:rPr>
      </w:pPr>
    </w:p>
    <w:p w:rsidR="005904C6" w:rsidRPr="0077398B" w:rsidRDefault="005904C6" w:rsidP="002A7D4E">
      <w:pPr>
        <w:pStyle w:val="Text"/>
        <w:spacing w:line="276" w:lineRule="auto"/>
      </w:pPr>
      <w:r w:rsidRPr="0077398B">
        <w:t xml:space="preserve">Le Surface Mining étant effectué sans forage ni minage, il permet à la fois d’éviter les vibrations du sol, le bruit et la poussière, de ménager l’environnement et d’accroître la sécurité de l’exploitation à ciel ouvert. Outre la qualité accrue du matériau, l’extraction sélective permet également d’augmenter nettement le taux d’exploitation du gisement puisque les Surface Miner WIRTGEN abattent en toute efficacité des matières premières qu’il était impossible d’exploiter auparavant, ce qui crée une véritable plus-value. Ainsi les entreprises profitent-elles de nets avantages </w:t>
      </w:r>
      <w:r>
        <w:t xml:space="preserve">en termes de qualité et de coûts d’exploitation </w:t>
      </w:r>
      <w:r w:rsidRPr="0077398B">
        <w:t xml:space="preserve">lors de l’extraction du matériau et de son traitement ultérieur. </w:t>
      </w:r>
    </w:p>
    <w:p w:rsidR="005904C6" w:rsidRPr="0077398B" w:rsidRDefault="005904C6" w:rsidP="002A7D4E">
      <w:pPr>
        <w:pStyle w:val="Text"/>
        <w:spacing w:line="276" w:lineRule="auto"/>
      </w:pPr>
      <w:r w:rsidRPr="0077398B">
        <w:t>Outre l’extraction de matières premières, les Surface Miner sont également utilisés pour l’exécution de grands projets d’infrastructure tels que la réalisation de tracés de routes, de lignes de chemin de fer et de tunnels.</w:t>
      </w:r>
    </w:p>
    <w:p w:rsidR="005904C6" w:rsidRPr="0077398B" w:rsidRDefault="005904C6" w:rsidP="00244981">
      <w:pPr>
        <w:pStyle w:val="Text"/>
        <w:spacing w:line="276" w:lineRule="auto"/>
        <w:rPr>
          <w:lang w:eastAsia="de-DE"/>
        </w:rPr>
      </w:pPr>
    </w:p>
    <w:p w:rsidR="005904C6" w:rsidRPr="0077398B" w:rsidRDefault="005904C6" w:rsidP="005F5707">
      <w:pPr>
        <w:pStyle w:val="Text"/>
        <w:spacing w:line="276" w:lineRule="auto"/>
        <w:rPr>
          <w:b/>
        </w:rPr>
      </w:pPr>
      <w:r w:rsidRPr="0077398B">
        <w:rPr>
          <w:b/>
        </w:rPr>
        <w:t>Les Surface Miner WIRTGEN en Guinée</w:t>
      </w:r>
    </w:p>
    <w:p w:rsidR="005904C6" w:rsidRPr="0077398B" w:rsidRDefault="005904C6" w:rsidP="005F5707">
      <w:pPr>
        <w:pStyle w:val="Text"/>
        <w:spacing w:line="276" w:lineRule="auto"/>
      </w:pPr>
      <w:r w:rsidRPr="0077398B">
        <w:t xml:space="preserve">Les Surface Miner WIRTGEN se sont établis en Guinée, </w:t>
      </w:r>
      <w:r>
        <w:t xml:space="preserve">en </w:t>
      </w:r>
      <w:r w:rsidRPr="0077398B">
        <w:t>Afrique de l’Ouest, depuis maintenant plus de 10 ans. Une flotte d’env</w:t>
      </w:r>
      <w:r>
        <w:t>iron</w:t>
      </w:r>
      <w:r w:rsidRPr="0077398B">
        <w:t xml:space="preserve"> 20 machines y est en action, principalement dans les mines de bauxite. Les clients bénéficient à la fois de l’assistance directe de l’usine mère allemande WIRTGEN et de celle d’une </w:t>
      </w:r>
      <w:r>
        <w:t>succursale</w:t>
      </w:r>
      <w:r w:rsidRPr="0077398B">
        <w:t xml:space="preserve"> locale de Conakry, qui fournit des prestations de services sur site – allant de l’assistance technique aux contrats de réparation et de maintenance MARC (Maintenance and </w:t>
      </w:r>
      <w:proofErr w:type="spellStart"/>
      <w:r w:rsidRPr="0077398B">
        <w:t>Repair</w:t>
      </w:r>
      <w:proofErr w:type="spellEnd"/>
      <w:r w:rsidRPr="0077398B">
        <w:t xml:space="preserve"> </w:t>
      </w:r>
      <w:proofErr w:type="spellStart"/>
      <w:r w:rsidRPr="0077398B">
        <w:t>Contracts</w:t>
      </w:r>
      <w:proofErr w:type="spellEnd"/>
      <w:r w:rsidRPr="0077398B">
        <w:t xml:space="preserve">) – </w:t>
      </w:r>
      <w:r>
        <w:t xml:space="preserve">aussi bien </w:t>
      </w:r>
      <w:r w:rsidRPr="0077398B">
        <w:t xml:space="preserve">avec des collaborateurs de l’usine mère </w:t>
      </w:r>
      <w:r>
        <w:t>qu’avec</w:t>
      </w:r>
      <w:r w:rsidRPr="0077398B">
        <w:t xml:space="preserve"> des techniciens locaux.</w:t>
      </w:r>
    </w:p>
    <w:p w:rsidR="005904C6" w:rsidRPr="0077398B" w:rsidRDefault="005904C6" w:rsidP="0005726E">
      <w:pPr>
        <w:pStyle w:val="Text"/>
        <w:spacing w:line="276" w:lineRule="auto"/>
      </w:pPr>
    </w:p>
    <w:p w:rsidR="005904C6" w:rsidRPr="0077398B" w:rsidRDefault="005904C6" w:rsidP="0005726E">
      <w:pPr>
        <w:pStyle w:val="Text"/>
        <w:spacing w:line="276" w:lineRule="auto"/>
        <w:rPr>
          <w:b/>
        </w:rPr>
      </w:pPr>
      <w:r w:rsidRPr="0077398B">
        <w:rPr>
          <w:b/>
        </w:rPr>
        <w:t>Les experts WIRTGEN à Conakry</w:t>
      </w:r>
    </w:p>
    <w:p w:rsidR="005904C6" w:rsidRPr="0077398B" w:rsidRDefault="005904C6" w:rsidP="0046412B">
      <w:pPr>
        <w:pStyle w:val="Text"/>
        <w:spacing w:line="276" w:lineRule="auto"/>
      </w:pPr>
      <w:r w:rsidRPr="0077398B">
        <w:t xml:space="preserve">Dans le cadre du congrès SMG au Sheraton Grand </w:t>
      </w:r>
      <w:proofErr w:type="spellStart"/>
      <w:r w:rsidRPr="0077398B">
        <w:t>Hotel</w:t>
      </w:r>
      <w:proofErr w:type="spellEnd"/>
      <w:r w:rsidRPr="0077398B">
        <w:t xml:space="preserve"> Conakry, WIRTGEN fera notamment une intervention spécialisée des plus </w:t>
      </w:r>
      <w:r>
        <w:t xml:space="preserve">attendues </w:t>
      </w:r>
      <w:r w:rsidRPr="0077398B">
        <w:t xml:space="preserve">sur le thème « High Performance; </w:t>
      </w:r>
      <w:proofErr w:type="spellStart"/>
      <w:r w:rsidRPr="0077398B">
        <w:t>Safe</w:t>
      </w:r>
      <w:proofErr w:type="spellEnd"/>
      <w:r w:rsidRPr="0077398B">
        <w:t xml:space="preserve"> &amp; </w:t>
      </w:r>
      <w:proofErr w:type="spellStart"/>
      <w:r w:rsidRPr="0077398B">
        <w:t>Environmental</w:t>
      </w:r>
      <w:r w:rsidR="00A17FF5">
        <w:t>ly</w:t>
      </w:r>
      <w:proofErr w:type="spellEnd"/>
      <w:r w:rsidR="00A17FF5">
        <w:t xml:space="preserve"> </w:t>
      </w:r>
      <w:proofErr w:type="spellStart"/>
      <w:r w:rsidR="00A17FF5">
        <w:t>F</w:t>
      </w:r>
      <w:r w:rsidRPr="0077398B">
        <w:t>riendly</w:t>
      </w:r>
      <w:proofErr w:type="spellEnd"/>
      <w:r w:rsidRPr="0077398B">
        <w:t xml:space="preserve"> Bauxite Mining in </w:t>
      </w:r>
      <w:proofErr w:type="spellStart"/>
      <w:r w:rsidRPr="0077398B">
        <w:t>Guinea</w:t>
      </w:r>
      <w:proofErr w:type="spellEnd"/>
      <w:r w:rsidRPr="0077398B">
        <w:t xml:space="preserve"> » (L’exploitation de bauxite en Guinée : haute performance, sécurité et respect de l’environnement) </w:t>
      </w:r>
      <w:r>
        <w:t>qui</w:t>
      </w:r>
      <w:r w:rsidRPr="0077398B">
        <w:t xml:space="preserve"> abordera les solutions adaptées aux projets </w:t>
      </w:r>
      <w:r>
        <w:t>du pays</w:t>
      </w:r>
      <w:r w:rsidRPr="0077398B">
        <w:t xml:space="preserve">. </w:t>
      </w:r>
    </w:p>
    <w:p w:rsidR="005904C6" w:rsidRPr="0077398B" w:rsidRDefault="005904C6" w:rsidP="0046412B">
      <w:pPr>
        <w:pStyle w:val="Text"/>
        <w:spacing w:line="276" w:lineRule="auto"/>
      </w:pPr>
    </w:p>
    <w:p w:rsidR="005904C6" w:rsidRPr="0077398B" w:rsidRDefault="005904C6" w:rsidP="0046412B">
      <w:pPr>
        <w:pStyle w:val="Text"/>
        <w:spacing w:line="276" w:lineRule="auto"/>
        <w:rPr>
          <w:rStyle w:val="Hervorhebung"/>
        </w:rPr>
      </w:pPr>
      <w:r w:rsidRPr="0077398B">
        <w:t xml:space="preserve">En outre, les experts en Mining de WIRTGEN se tiendront </w:t>
      </w:r>
      <w:r>
        <w:t>à disposition</w:t>
      </w:r>
      <w:r w:rsidRPr="0077398B">
        <w:t xml:space="preserve"> pour répondre aux questions </w:t>
      </w:r>
      <w:r>
        <w:t>concernant les</w:t>
      </w:r>
      <w:r w:rsidRPr="0077398B">
        <w:t xml:space="preserve"> application</w:t>
      </w:r>
      <w:r>
        <w:t>s</w:t>
      </w:r>
      <w:r w:rsidRPr="0077398B">
        <w:t xml:space="preserve"> et </w:t>
      </w:r>
      <w:r>
        <w:t>partager</w:t>
      </w:r>
      <w:r w:rsidRPr="0077398B">
        <w:t xml:space="preserve"> leur expérience au cours d’intéressants entretiens avec le public de professionnels. </w:t>
      </w:r>
    </w:p>
    <w:p w:rsidR="005904C6" w:rsidRPr="0077398B" w:rsidRDefault="005904C6" w:rsidP="0005726E">
      <w:pPr>
        <w:pStyle w:val="Text"/>
        <w:spacing w:line="276" w:lineRule="auto"/>
      </w:pPr>
    </w:p>
    <w:p w:rsidR="00A17FF5" w:rsidRDefault="00A17FF5">
      <w:pPr>
        <w:rPr>
          <w:b/>
          <w:sz w:val="22"/>
          <w:szCs w:val="22"/>
        </w:rPr>
      </w:pPr>
      <w:r>
        <w:rPr>
          <w:caps/>
          <w:szCs w:val="22"/>
        </w:rPr>
        <w:br w:type="page"/>
      </w:r>
    </w:p>
    <w:p w:rsidR="005904C6" w:rsidRPr="0077398B" w:rsidRDefault="005904C6" w:rsidP="00C644CA">
      <w:pPr>
        <w:pStyle w:val="HeadlineFotos"/>
      </w:pPr>
      <w:r w:rsidRPr="0077398B">
        <w:rPr>
          <w:caps w:val="0"/>
          <w:szCs w:val="22"/>
        </w:rPr>
        <w:lastRenderedPageBreak/>
        <w:t>Photos </w:t>
      </w:r>
      <w:r w:rsidRPr="0077398B">
        <w:t>:</w:t>
      </w:r>
    </w:p>
    <w:tbl>
      <w:tblPr>
        <w:tblW w:w="0" w:type="auto"/>
        <w:tblCellSpacing w:w="71" w:type="dxa"/>
        <w:tblCellMar>
          <w:left w:w="0" w:type="dxa"/>
          <w:right w:w="0" w:type="dxa"/>
        </w:tblCellMar>
        <w:tblLook w:val="00A0" w:firstRow="1" w:lastRow="0" w:firstColumn="1" w:lastColumn="0" w:noHBand="0" w:noVBand="0"/>
      </w:tblPr>
      <w:tblGrid>
        <w:gridCol w:w="4985"/>
        <w:gridCol w:w="4823"/>
      </w:tblGrid>
      <w:tr w:rsidR="005904C6" w:rsidRPr="0077398B" w:rsidTr="00DD225A">
        <w:trPr>
          <w:tblCellSpacing w:w="71" w:type="dxa"/>
        </w:trPr>
        <w:tc>
          <w:tcPr>
            <w:tcW w:w="4832" w:type="dxa"/>
            <w:tcBorders>
              <w:right w:val="single" w:sz="4" w:space="0" w:color="auto"/>
            </w:tcBorders>
          </w:tcPr>
          <w:p w:rsidR="005904C6" w:rsidRPr="0077398B" w:rsidRDefault="006447A0" w:rsidP="00D166AC">
            <w:pPr>
              <w:rPr>
                <w:szCs w:val="20"/>
              </w:rPr>
            </w:pPr>
            <w:r>
              <w:rPr>
                <w:noProof/>
                <w:szCs w:val="20"/>
                <w:lang w:val="de-DE" w:eastAsia="de-DE"/>
              </w:rPr>
              <w:drawing>
                <wp:inline distT="0" distB="0" distL="0" distR="0">
                  <wp:extent cx="2590800" cy="1959610"/>
                  <wp:effectExtent l="1905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590800" cy="1959610"/>
                          </a:xfrm>
                          <a:prstGeom prst="rect">
                            <a:avLst/>
                          </a:prstGeom>
                          <a:noFill/>
                          <a:ln w="9525">
                            <a:noFill/>
                            <a:miter lim="800000"/>
                            <a:headEnd/>
                            <a:tailEnd/>
                          </a:ln>
                        </pic:spPr>
                      </pic:pic>
                    </a:graphicData>
                  </a:graphic>
                </wp:inline>
              </w:drawing>
            </w:r>
          </w:p>
        </w:tc>
        <w:tc>
          <w:tcPr>
            <w:tcW w:w="4832" w:type="dxa"/>
          </w:tcPr>
          <w:p w:rsidR="005904C6" w:rsidRPr="0077398B" w:rsidRDefault="005904C6" w:rsidP="0014683F">
            <w:pPr>
              <w:pStyle w:val="berschrift3"/>
            </w:pPr>
            <w:r w:rsidRPr="0077398B">
              <w:t>2500SM_00396_HI</w:t>
            </w:r>
          </w:p>
          <w:p w:rsidR="005904C6" w:rsidRPr="0077398B" w:rsidRDefault="005904C6" w:rsidP="00DD225A">
            <w:pPr>
              <w:pStyle w:val="Text"/>
              <w:jc w:val="left"/>
              <w:rPr>
                <w:sz w:val="20"/>
                <w:szCs w:val="20"/>
              </w:rPr>
            </w:pPr>
            <w:r w:rsidRPr="0077398B">
              <w:rPr>
                <w:sz w:val="20"/>
                <w:szCs w:val="20"/>
              </w:rPr>
              <w:t xml:space="preserve">Le 2500 SM réalise des profils précis et stables et charge la bauxite en une seule opération – comme ici en Guinée. L’extrême pureté et l’excellente qualité des matières premières obtenues sont des avantages majeurs de </w:t>
            </w:r>
            <w:r>
              <w:rPr>
                <w:sz w:val="20"/>
                <w:szCs w:val="20"/>
              </w:rPr>
              <w:t>l</w:t>
            </w:r>
            <w:r w:rsidRPr="0077398B">
              <w:rPr>
                <w:sz w:val="20"/>
                <w:szCs w:val="20"/>
              </w:rPr>
              <w:t xml:space="preserve">a technique bien étudiée et de </w:t>
            </w:r>
            <w:r>
              <w:rPr>
                <w:sz w:val="20"/>
                <w:szCs w:val="20"/>
              </w:rPr>
              <w:t>l</w:t>
            </w:r>
            <w:r w:rsidRPr="0077398B">
              <w:rPr>
                <w:sz w:val="20"/>
                <w:szCs w:val="20"/>
              </w:rPr>
              <w:t>a méthode d’extraction sélective</w:t>
            </w:r>
            <w:r>
              <w:rPr>
                <w:sz w:val="20"/>
                <w:szCs w:val="20"/>
              </w:rPr>
              <w:t xml:space="preserve"> des Surface Miner WIRTGEN</w:t>
            </w:r>
            <w:r w:rsidRPr="0077398B">
              <w:rPr>
                <w:sz w:val="20"/>
                <w:szCs w:val="20"/>
              </w:rPr>
              <w:t>.</w:t>
            </w:r>
          </w:p>
        </w:tc>
      </w:tr>
    </w:tbl>
    <w:p w:rsidR="005904C6" w:rsidRPr="0077398B" w:rsidRDefault="005904C6" w:rsidP="00D166AC">
      <w:pPr>
        <w:pStyle w:val="Text"/>
      </w:pPr>
    </w:p>
    <w:p w:rsidR="00A17FF5" w:rsidRPr="004527D9" w:rsidRDefault="00A17FF5" w:rsidP="00A17FF5">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A17FF5" w:rsidRPr="002657E9" w:rsidRDefault="00A17FF5" w:rsidP="00A17FF5">
      <w:pPr>
        <w:pStyle w:val="Text"/>
      </w:pPr>
    </w:p>
    <w:p w:rsidR="00A17FF5" w:rsidRPr="002657E9" w:rsidRDefault="00A17FF5" w:rsidP="00A17FF5">
      <w:pPr>
        <w:pStyle w:val="Text"/>
      </w:pPr>
    </w:p>
    <w:tbl>
      <w:tblPr>
        <w:tblStyle w:val="Basic"/>
        <w:tblW w:w="0" w:type="auto"/>
        <w:tblLook w:val="04A0" w:firstRow="1" w:lastRow="0" w:firstColumn="1" w:lastColumn="0" w:noHBand="0" w:noVBand="1"/>
      </w:tblPr>
      <w:tblGrid>
        <w:gridCol w:w="4784"/>
        <w:gridCol w:w="4740"/>
      </w:tblGrid>
      <w:tr w:rsidR="00A17FF5" w:rsidTr="00C939E9">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A17FF5" w:rsidRPr="00BA6793" w:rsidRDefault="00A17FF5" w:rsidP="00C939E9">
            <w:pPr>
              <w:pStyle w:val="HeadlineKontakte"/>
              <w:rPr>
                <w:rFonts w:eastAsia="Calibri"/>
                <w:caps w:val="0"/>
                <w:szCs w:val="22"/>
              </w:rPr>
            </w:pPr>
            <w:r w:rsidRPr="00BA6793">
              <w:rPr>
                <w:rFonts w:cs="Arial"/>
              </w:rPr>
              <w:t>Vous obtiendrez de plus amples</w:t>
            </w:r>
          </w:p>
          <w:p w:rsidR="00A17FF5" w:rsidRPr="00A100EA" w:rsidRDefault="00A17FF5" w:rsidP="00C939E9">
            <w:pPr>
              <w:pStyle w:val="HeadlineKontakte"/>
            </w:pPr>
            <w:r w:rsidRPr="00A100EA">
              <w:rPr>
                <w:rFonts w:cs="Arial"/>
              </w:rPr>
              <w:t xml:space="preserve">informations auprès de </w:t>
            </w:r>
            <w:r w:rsidRPr="00A100EA">
              <w:t>:</w:t>
            </w:r>
          </w:p>
          <w:p w:rsidR="00A17FF5" w:rsidRPr="00564374" w:rsidRDefault="00A17FF5" w:rsidP="00C939E9">
            <w:pPr>
              <w:pStyle w:val="Text"/>
            </w:pPr>
            <w:r w:rsidRPr="00564374">
              <w:t>WIRTGEN GmbH</w:t>
            </w:r>
          </w:p>
          <w:p w:rsidR="00A17FF5" w:rsidRPr="00564374" w:rsidRDefault="00A17FF5" w:rsidP="00C939E9">
            <w:pPr>
              <w:pStyle w:val="Text"/>
            </w:pPr>
            <w:proofErr w:type="spellStart"/>
            <w:r w:rsidRPr="00564374">
              <w:t>Corporate</w:t>
            </w:r>
            <w:proofErr w:type="spellEnd"/>
            <w:r w:rsidRPr="00564374">
              <w:t xml:space="preserve"> Communications</w:t>
            </w:r>
          </w:p>
          <w:p w:rsidR="00A17FF5" w:rsidRPr="00564374" w:rsidRDefault="00A17FF5" w:rsidP="00C939E9">
            <w:pPr>
              <w:pStyle w:val="Text"/>
            </w:pPr>
            <w:r w:rsidRPr="00564374">
              <w:t>Michaela Adams, Mario Linnemann</w:t>
            </w:r>
          </w:p>
          <w:p w:rsidR="00A17FF5" w:rsidRPr="00564374" w:rsidRDefault="00A17FF5" w:rsidP="00C939E9">
            <w:pPr>
              <w:pStyle w:val="Text"/>
            </w:pPr>
            <w:r w:rsidRPr="00564374">
              <w:t>Reinhard-Wirtgen-</w:t>
            </w:r>
            <w:proofErr w:type="spellStart"/>
            <w:r w:rsidRPr="00564374">
              <w:t>Straße</w:t>
            </w:r>
            <w:proofErr w:type="spellEnd"/>
            <w:r w:rsidRPr="00564374">
              <w:t xml:space="preserve"> 2</w:t>
            </w:r>
          </w:p>
          <w:p w:rsidR="00A17FF5" w:rsidRPr="00564374" w:rsidRDefault="00A17FF5" w:rsidP="00C939E9">
            <w:pPr>
              <w:pStyle w:val="Text"/>
            </w:pPr>
            <w:r w:rsidRPr="00564374">
              <w:t xml:space="preserve">53578 </w:t>
            </w:r>
            <w:proofErr w:type="spellStart"/>
            <w:r w:rsidRPr="00564374">
              <w:t>Windhagen</w:t>
            </w:r>
            <w:proofErr w:type="spellEnd"/>
          </w:p>
          <w:p w:rsidR="00A17FF5" w:rsidRPr="00B925BA" w:rsidRDefault="00A17FF5" w:rsidP="00C939E9">
            <w:pPr>
              <w:pStyle w:val="Text"/>
            </w:pPr>
            <w:r w:rsidRPr="00B925BA">
              <w:t>Allemagne</w:t>
            </w:r>
          </w:p>
          <w:p w:rsidR="00A17FF5" w:rsidRPr="00B925BA" w:rsidRDefault="00A17FF5" w:rsidP="00C939E9">
            <w:pPr>
              <w:pStyle w:val="Text"/>
            </w:pPr>
          </w:p>
          <w:p w:rsidR="00A17FF5" w:rsidRPr="00B925BA" w:rsidRDefault="00A17FF5" w:rsidP="00C939E9">
            <w:pPr>
              <w:pStyle w:val="Text"/>
            </w:pPr>
            <w:r w:rsidRPr="00B925BA">
              <w:t>Téléphone: +49 (0) 2645 131 – 0</w:t>
            </w:r>
          </w:p>
          <w:p w:rsidR="00A17FF5" w:rsidRPr="00B925BA" w:rsidRDefault="00A17FF5" w:rsidP="00C939E9">
            <w:pPr>
              <w:pStyle w:val="Text"/>
            </w:pPr>
            <w:proofErr w:type="spellStart"/>
            <w:r w:rsidRPr="00B925BA">
              <w:t>Telefax</w:t>
            </w:r>
            <w:proofErr w:type="spellEnd"/>
            <w:r w:rsidRPr="00B925BA">
              <w:t>:      +49 (0) 2645 131 – 499</w:t>
            </w:r>
          </w:p>
          <w:p w:rsidR="00A17FF5" w:rsidRPr="00B925BA" w:rsidRDefault="00A17FF5" w:rsidP="00C939E9">
            <w:pPr>
              <w:pStyle w:val="Text"/>
            </w:pPr>
            <w:r w:rsidRPr="00B925BA">
              <w:t>e-mail:        presse@wirtgen.com</w:t>
            </w:r>
          </w:p>
          <w:p w:rsidR="00A17FF5" w:rsidRPr="00D166AC" w:rsidRDefault="00A17FF5" w:rsidP="00C939E9">
            <w:pPr>
              <w:pStyle w:val="Text"/>
            </w:pPr>
            <w:r>
              <w:t>www.wirtgen.com</w:t>
            </w:r>
          </w:p>
        </w:tc>
        <w:tc>
          <w:tcPr>
            <w:tcW w:w="4832" w:type="dxa"/>
            <w:tcBorders>
              <w:left w:val="single" w:sz="48" w:space="0" w:color="FFFFFF" w:themeColor="background1"/>
            </w:tcBorders>
          </w:tcPr>
          <w:p w:rsidR="00A17FF5" w:rsidRPr="0034191A" w:rsidRDefault="00A17FF5" w:rsidP="00C939E9">
            <w:pPr>
              <w:pStyle w:val="Text"/>
            </w:pPr>
          </w:p>
        </w:tc>
      </w:tr>
    </w:tbl>
    <w:p w:rsidR="005904C6" w:rsidRPr="0077398B" w:rsidRDefault="005904C6" w:rsidP="00D166AC">
      <w:pPr>
        <w:pStyle w:val="Text"/>
      </w:pPr>
      <w:bookmarkStart w:id="0" w:name="_GoBack"/>
      <w:bookmarkEnd w:id="0"/>
    </w:p>
    <w:sectPr w:rsidR="005904C6" w:rsidRPr="0077398B"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6E9" w:rsidRDefault="000016E9" w:rsidP="00E55534">
      <w:r>
        <w:separator/>
      </w:r>
    </w:p>
  </w:endnote>
  <w:endnote w:type="continuationSeparator" w:id="0">
    <w:p w:rsidR="000016E9" w:rsidRDefault="000016E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5904C6" w:rsidRPr="00DD225A" w:rsidTr="00DD225A">
      <w:trPr>
        <w:trHeight w:hRule="exact" w:val="227"/>
      </w:trPr>
      <w:tc>
        <w:tcPr>
          <w:tcW w:w="8364" w:type="dxa"/>
        </w:tcPr>
        <w:p w:rsidR="005904C6" w:rsidRPr="00DD225A" w:rsidRDefault="005904C6" w:rsidP="00DD225A">
          <w:pPr>
            <w:pStyle w:val="Kolumnentitel"/>
            <w:rPr>
              <w:szCs w:val="20"/>
            </w:rPr>
          </w:pPr>
          <w:r w:rsidRPr="00DD225A">
            <w:rPr>
              <w:rStyle w:val="Platzhaltertext"/>
              <w:szCs w:val="20"/>
            </w:rPr>
            <w:t xml:space="preserve">     </w:t>
          </w:r>
        </w:p>
      </w:tc>
      <w:tc>
        <w:tcPr>
          <w:tcW w:w="1160" w:type="dxa"/>
        </w:tcPr>
        <w:p w:rsidR="005904C6" w:rsidRPr="00DD225A" w:rsidRDefault="00755962" w:rsidP="00DD225A">
          <w:pPr>
            <w:pStyle w:val="Seitenzahlen"/>
            <w:rPr>
              <w:szCs w:val="20"/>
            </w:rPr>
          </w:pPr>
          <w:r w:rsidRPr="00DD225A">
            <w:rPr>
              <w:szCs w:val="20"/>
            </w:rPr>
            <w:fldChar w:fldCharType="begin"/>
          </w:r>
          <w:r w:rsidR="005904C6" w:rsidRPr="00DD225A">
            <w:rPr>
              <w:szCs w:val="20"/>
            </w:rPr>
            <w:instrText xml:space="preserve"> PAGE \# "00"</w:instrText>
          </w:r>
          <w:r w:rsidRPr="00DD225A">
            <w:rPr>
              <w:szCs w:val="20"/>
            </w:rPr>
            <w:fldChar w:fldCharType="separate"/>
          </w:r>
          <w:r w:rsidR="00A17FF5">
            <w:rPr>
              <w:noProof/>
              <w:szCs w:val="20"/>
            </w:rPr>
            <w:t>02</w:t>
          </w:r>
          <w:r w:rsidRPr="00DD225A">
            <w:rPr>
              <w:szCs w:val="20"/>
            </w:rPr>
            <w:fldChar w:fldCharType="end"/>
          </w:r>
        </w:p>
      </w:tc>
    </w:tr>
  </w:tbl>
  <w:p w:rsidR="005904C6" w:rsidRDefault="00A17FF5">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5904C6" w:rsidRPr="00DD225A" w:rsidTr="00DD225A">
      <w:tc>
        <w:tcPr>
          <w:tcW w:w="9664" w:type="dxa"/>
        </w:tcPr>
        <w:p w:rsidR="005904C6" w:rsidRPr="00DD225A" w:rsidRDefault="005904C6" w:rsidP="00DD225A">
          <w:pPr>
            <w:pStyle w:val="Fuzeile"/>
            <w:spacing w:before="96" w:after="96"/>
            <w:rPr>
              <w:szCs w:val="20"/>
            </w:rPr>
          </w:pPr>
          <w:r w:rsidRPr="0077398B">
            <w:rPr>
              <w:rStyle w:val="Hervorhebung"/>
              <w:szCs w:val="20"/>
              <w:lang w:val="de-DE"/>
            </w:rPr>
            <w:t>WIRTGEN GmbH</w:t>
          </w:r>
          <w:r w:rsidRPr="0077398B">
            <w:rPr>
              <w:szCs w:val="20"/>
              <w:lang w:val="de-DE"/>
            </w:rPr>
            <w:t xml:space="preserve"> · Reinhard-Wirtgen-Str. </w:t>
          </w:r>
          <w:r w:rsidRPr="00DD225A">
            <w:rPr>
              <w:szCs w:val="20"/>
            </w:rPr>
            <w:t xml:space="preserve">2 · D-53578 </w:t>
          </w:r>
          <w:proofErr w:type="spellStart"/>
          <w:r w:rsidRPr="00DD225A">
            <w:rPr>
              <w:szCs w:val="20"/>
            </w:rPr>
            <w:t>Windhagen</w:t>
          </w:r>
          <w:proofErr w:type="spellEnd"/>
          <w:r w:rsidRPr="00DD225A">
            <w:rPr>
              <w:szCs w:val="20"/>
            </w:rPr>
            <w:t xml:space="preserve"> · T: +49 26 45 / 131 0</w:t>
          </w:r>
        </w:p>
      </w:tc>
    </w:tr>
  </w:tbl>
  <w:p w:rsidR="005904C6" w:rsidRDefault="00A17FF5">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6E9" w:rsidRDefault="000016E9" w:rsidP="00E55534">
      <w:r>
        <w:separator/>
      </w:r>
    </w:p>
  </w:footnote>
  <w:footnote w:type="continuationSeparator" w:id="0">
    <w:p w:rsidR="000016E9" w:rsidRDefault="000016E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4C6" w:rsidRPr="002E765F" w:rsidRDefault="005904C6">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5904C6" w:rsidRPr="00DD225A" w:rsidTr="00DD225A">
      <w:trPr>
        <w:trHeight w:hRule="exact" w:val="510"/>
      </w:trPr>
      <w:tc>
        <w:tcPr>
          <w:tcW w:w="3439" w:type="dxa"/>
        </w:tcPr>
        <w:p w:rsidR="005904C6" w:rsidRPr="00DD225A" w:rsidRDefault="005904C6" w:rsidP="00DD225A">
          <w:pPr>
            <w:pStyle w:val="Titel"/>
            <w:jc w:val="right"/>
            <w:rPr>
              <w:sz w:val="32"/>
              <w:szCs w:val="34"/>
            </w:rPr>
          </w:pPr>
          <w:r w:rsidRPr="00DD225A">
            <w:rPr>
              <w:sz w:val="32"/>
              <w:szCs w:val="34"/>
            </w:rPr>
            <w:t xml:space="preserve">PRESS </w:t>
          </w:r>
          <w:r w:rsidRPr="00DD225A">
            <w:rPr>
              <w:sz w:val="6"/>
              <w:szCs w:val="2"/>
            </w:rPr>
            <w:t xml:space="preserve"> </w:t>
          </w:r>
          <w:r w:rsidRPr="00DD225A">
            <w:rPr>
              <w:sz w:val="32"/>
              <w:szCs w:val="34"/>
            </w:rPr>
            <w:t>RELEASE</w:t>
          </w:r>
        </w:p>
      </w:tc>
    </w:tr>
  </w:tbl>
  <w:p w:rsidR="005904C6" w:rsidRPr="002E765F" w:rsidRDefault="006447A0">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A17FF5">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4C6" w:rsidRDefault="00A17FF5">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6447A0">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6447A0">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6pt;height:1499.6pt" o:bullet="t">
        <v:imagedata r:id="rId1" o:title=""/>
      </v:shape>
    </w:pict>
  </w:numPicBullet>
  <w:numPicBullet w:numPicBulletId="1">
    <w:pict>
      <v:shape id="_x0000_i1030" type="#_x0000_t75" style="width:6.6pt;height:6.6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03396"/>
    <w:rsid w:val="000016E9"/>
    <w:rsid w:val="00042106"/>
    <w:rsid w:val="0005285B"/>
    <w:rsid w:val="0005726E"/>
    <w:rsid w:val="00066D09"/>
    <w:rsid w:val="0008463B"/>
    <w:rsid w:val="0009194C"/>
    <w:rsid w:val="0009665C"/>
    <w:rsid w:val="00096835"/>
    <w:rsid w:val="000C4A0F"/>
    <w:rsid w:val="000C5D2A"/>
    <w:rsid w:val="000D0321"/>
    <w:rsid w:val="00103205"/>
    <w:rsid w:val="0012026F"/>
    <w:rsid w:val="0012097F"/>
    <w:rsid w:val="00132055"/>
    <w:rsid w:val="00144F2C"/>
    <w:rsid w:val="0014683F"/>
    <w:rsid w:val="00153138"/>
    <w:rsid w:val="00171B15"/>
    <w:rsid w:val="00173187"/>
    <w:rsid w:val="001B16BB"/>
    <w:rsid w:val="00211408"/>
    <w:rsid w:val="0023627A"/>
    <w:rsid w:val="00244981"/>
    <w:rsid w:val="00253A2E"/>
    <w:rsid w:val="002844EF"/>
    <w:rsid w:val="0029634D"/>
    <w:rsid w:val="002A7D4E"/>
    <w:rsid w:val="002B1ED1"/>
    <w:rsid w:val="002C0015"/>
    <w:rsid w:val="002E765F"/>
    <w:rsid w:val="002F108B"/>
    <w:rsid w:val="003136C6"/>
    <w:rsid w:val="0034191A"/>
    <w:rsid w:val="00343CC7"/>
    <w:rsid w:val="00367D83"/>
    <w:rsid w:val="00384A08"/>
    <w:rsid w:val="003A753A"/>
    <w:rsid w:val="003C3AED"/>
    <w:rsid w:val="003E1CB6"/>
    <w:rsid w:val="003E3CF6"/>
    <w:rsid w:val="003E759F"/>
    <w:rsid w:val="00403373"/>
    <w:rsid w:val="00406C81"/>
    <w:rsid w:val="00412545"/>
    <w:rsid w:val="00430BB0"/>
    <w:rsid w:val="00463D7D"/>
    <w:rsid w:val="0046412B"/>
    <w:rsid w:val="00476F4D"/>
    <w:rsid w:val="00495271"/>
    <w:rsid w:val="004B1C86"/>
    <w:rsid w:val="004D0106"/>
    <w:rsid w:val="004E2D2D"/>
    <w:rsid w:val="004F4B87"/>
    <w:rsid w:val="004F5D57"/>
    <w:rsid w:val="004F735C"/>
    <w:rsid w:val="00506409"/>
    <w:rsid w:val="00530E32"/>
    <w:rsid w:val="0053437F"/>
    <w:rsid w:val="005576AE"/>
    <w:rsid w:val="005711A3"/>
    <w:rsid w:val="00573B2B"/>
    <w:rsid w:val="00575103"/>
    <w:rsid w:val="005904C6"/>
    <w:rsid w:val="00593216"/>
    <w:rsid w:val="005A4F04"/>
    <w:rsid w:val="005B3697"/>
    <w:rsid w:val="005B5793"/>
    <w:rsid w:val="005C1082"/>
    <w:rsid w:val="005C7D2C"/>
    <w:rsid w:val="005F3AC6"/>
    <w:rsid w:val="005F5707"/>
    <w:rsid w:val="006078AC"/>
    <w:rsid w:val="006330A2"/>
    <w:rsid w:val="00642EB6"/>
    <w:rsid w:val="006447A0"/>
    <w:rsid w:val="006A63C1"/>
    <w:rsid w:val="006B73C9"/>
    <w:rsid w:val="006C6CB2"/>
    <w:rsid w:val="006F7602"/>
    <w:rsid w:val="0071164F"/>
    <w:rsid w:val="00713D55"/>
    <w:rsid w:val="00722A17"/>
    <w:rsid w:val="00735569"/>
    <w:rsid w:val="00755962"/>
    <w:rsid w:val="00757B83"/>
    <w:rsid w:val="007658CA"/>
    <w:rsid w:val="0076707C"/>
    <w:rsid w:val="0077398B"/>
    <w:rsid w:val="00785558"/>
    <w:rsid w:val="00791A69"/>
    <w:rsid w:val="00794830"/>
    <w:rsid w:val="00795DC9"/>
    <w:rsid w:val="00797CAA"/>
    <w:rsid w:val="007A4B2D"/>
    <w:rsid w:val="007B04C1"/>
    <w:rsid w:val="007B3209"/>
    <w:rsid w:val="007C2658"/>
    <w:rsid w:val="007C7C91"/>
    <w:rsid w:val="007E20D0"/>
    <w:rsid w:val="007F1DDB"/>
    <w:rsid w:val="00801B77"/>
    <w:rsid w:val="00810CE3"/>
    <w:rsid w:val="00820315"/>
    <w:rsid w:val="008437EB"/>
    <w:rsid w:val="00843B45"/>
    <w:rsid w:val="00863129"/>
    <w:rsid w:val="008C0100"/>
    <w:rsid w:val="008C2DB2"/>
    <w:rsid w:val="008D4AE7"/>
    <w:rsid w:val="008D770E"/>
    <w:rsid w:val="0090337E"/>
    <w:rsid w:val="0097297F"/>
    <w:rsid w:val="00975445"/>
    <w:rsid w:val="00975826"/>
    <w:rsid w:val="009A442A"/>
    <w:rsid w:val="009A7E90"/>
    <w:rsid w:val="009B6436"/>
    <w:rsid w:val="009C0E6F"/>
    <w:rsid w:val="009C2378"/>
    <w:rsid w:val="009D016F"/>
    <w:rsid w:val="009D52E9"/>
    <w:rsid w:val="009E251D"/>
    <w:rsid w:val="009E4800"/>
    <w:rsid w:val="00A13D31"/>
    <w:rsid w:val="00A171F4"/>
    <w:rsid w:val="00A17FF5"/>
    <w:rsid w:val="00A24EFC"/>
    <w:rsid w:val="00A25421"/>
    <w:rsid w:val="00A56E55"/>
    <w:rsid w:val="00A66089"/>
    <w:rsid w:val="00A7304B"/>
    <w:rsid w:val="00A81C5B"/>
    <w:rsid w:val="00A977CE"/>
    <w:rsid w:val="00AB1730"/>
    <w:rsid w:val="00AD131F"/>
    <w:rsid w:val="00AE4457"/>
    <w:rsid w:val="00AF2E23"/>
    <w:rsid w:val="00AF3B3A"/>
    <w:rsid w:val="00AF6569"/>
    <w:rsid w:val="00B06265"/>
    <w:rsid w:val="00B5695F"/>
    <w:rsid w:val="00B571E1"/>
    <w:rsid w:val="00B61680"/>
    <w:rsid w:val="00B739FA"/>
    <w:rsid w:val="00B90F78"/>
    <w:rsid w:val="00B95B8A"/>
    <w:rsid w:val="00BB2E6C"/>
    <w:rsid w:val="00BD1058"/>
    <w:rsid w:val="00BF56B2"/>
    <w:rsid w:val="00BF6DC3"/>
    <w:rsid w:val="00C03396"/>
    <w:rsid w:val="00C117A6"/>
    <w:rsid w:val="00C1451A"/>
    <w:rsid w:val="00C250C5"/>
    <w:rsid w:val="00C457C3"/>
    <w:rsid w:val="00C644CA"/>
    <w:rsid w:val="00C73005"/>
    <w:rsid w:val="00C73D72"/>
    <w:rsid w:val="00C867B8"/>
    <w:rsid w:val="00CB4274"/>
    <w:rsid w:val="00CF36C9"/>
    <w:rsid w:val="00D028C7"/>
    <w:rsid w:val="00D14CFF"/>
    <w:rsid w:val="00D166AC"/>
    <w:rsid w:val="00D27BC7"/>
    <w:rsid w:val="00D60A70"/>
    <w:rsid w:val="00DD0EC1"/>
    <w:rsid w:val="00DD225A"/>
    <w:rsid w:val="00E10CD0"/>
    <w:rsid w:val="00E14608"/>
    <w:rsid w:val="00E21E67"/>
    <w:rsid w:val="00E30C81"/>
    <w:rsid w:val="00E30EBF"/>
    <w:rsid w:val="00E52D70"/>
    <w:rsid w:val="00E55534"/>
    <w:rsid w:val="00E57243"/>
    <w:rsid w:val="00E8496D"/>
    <w:rsid w:val="00E914D1"/>
    <w:rsid w:val="00E9435D"/>
    <w:rsid w:val="00E9638F"/>
    <w:rsid w:val="00EA1DB6"/>
    <w:rsid w:val="00EA251B"/>
    <w:rsid w:val="00EC0CF6"/>
    <w:rsid w:val="00EE6050"/>
    <w:rsid w:val="00F20920"/>
    <w:rsid w:val="00F56318"/>
    <w:rsid w:val="00F648DA"/>
    <w:rsid w:val="00F82525"/>
    <w:rsid w:val="00F90F27"/>
    <w:rsid w:val="00F97FEA"/>
    <w:rsid w:val="00FB32DB"/>
    <w:rsid w:val="00FE06CE"/>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7B3209"/>
    <w:rPr>
      <w:rFonts w:cs="Times New Roman"/>
      <w:sz w:val="16"/>
      <w:szCs w:val="16"/>
    </w:rPr>
  </w:style>
  <w:style w:type="paragraph" w:styleId="Kommentartext">
    <w:name w:val="annotation text"/>
    <w:basedOn w:val="Standard"/>
    <w:link w:val="KommentartextZchn"/>
    <w:uiPriority w:val="99"/>
    <w:semiHidden/>
    <w:rsid w:val="007B3209"/>
    <w:rPr>
      <w:sz w:val="20"/>
      <w:szCs w:val="20"/>
    </w:rPr>
  </w:style>
  <w:style w:type="character" w:customStyle="1" w:styleId="KommentartextZchn">
    <w:name w:val="Kommentartext Zchn"/>
    <w:basedOn w:val="Absatz-Standardschriftart"/>
    <w:link w:val="Kommentartext"/>
    <w:uiPriority w:val="99"/>
    <w:semiHidden/>
    <w:locked/>
    <w:rsid w:val="007B3209"/>
    <w:rPr>
      <w:rFonts w:cs="Times New Roman"/>
      <w:sz w:val="20"/>
      <w:szCs w:val="20"/>
    </w:rPr>
  </w:style>
  <w:style w:type="paragraph" w:styleId="Kommentarthema">
    <w:name w:val="annotation subject"/>
    <w:basedOn w:val="Kommentartext"/>
    <w:next w:val="Kommentartext"/>
    <w:link w:val="KommentarthemaZchn"/>
    <w:uiPriority w:val="99"/>
    <w:semiHidden/>
    <w:rsid w:val="007B3209"/>
    <w:rPr>
      <w:b/>
      <w:bCs/>
    </w:rPr>
  </w:style>
  <w:style w:type="character" w:customStyle="1" w:styleId="KommentarthemaZchn">
    <w:name w:val="Kommentarthema Zchn"/>
    <w:basedOn w:val="KommentartextZchn"/>
    <w:link w:val="Kommentarthema"/>
    <w:uiPriority w:val="99"/>
    <w:semiHidden/>
    <w:locked/>
    <w:rsid w:val="007B3209"/>
    <w:rPr>
      <w:rFonts w:cs="Times New Roman"/>
      <w:b/>
      <w:bCs/>
      <w:sz w:val="20"/>
      <w:szCs w:val="20"/>
    </w:rPr>
  </w:style>
  <w:style w:type="numbering" w:customStyle="1" w:styleId="zzzBulletpoints">
    <w:name w:val="zzz_Bulletpoints"/>
    <w:rsid w:val="007E687B"/>
    <w:pPr>
      <w:numPr>
        <w:numId w:val="22"/>
      </w:numPr>
    </w:pPr>
  </w:style>
  <w:style w:type="numbering" w:customStyle="1" w:styleId="zzzThemen">
    <w:name w:val="zzz_Themen"/>
    <w:rsid w:val="007E687B"/>
    <w:pPr>
      <w:numPr>
        <w:numId w:val="18"/>
      </w:numPr>
    </w:pPr>
  </w:style>
  <w:style w:type="numbering" w:customStyle="1" w:styleId="zzzNummerierung">
    <w:name w:val="zzz_Nummerierung"/>
    <w:rsid w:val="007E687B"/>
    <w:pPr>
      <w:numPr>
        <w:numId w:val="24"/>
      </w:numPr>
    </w:pPr>
  </w:style>
  <w:style w:type="numbering" w:customStyle="1" w:styleId="zzzHeadlines">
    <w:name w:val="zzz_Headlines"/>
    <w:rsid w:val="007E687B"/>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4968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WIRTGEN au Symposium Mines Guinée 2017</vt:lpstr>
    </vt:vector>
  </TitlesOfParts>
  <Company>Wirtgen GmbH</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WIRTGEN au Symposium Mines Guinée 2017</dc:title>
  <dc:creator>Schüler Angelika</dc:creator>
  <cp:lastModifiedBy>Schüler Angelika</cp:lastModifiedBy>
  <cp:revision>4</cp:revision>
  <dcterms:created xsi:type="dcterms:W3CDTF">2017-02-21T12:43:00Z</dcterms:created>
  <dcterms:modified xsi:type="dcterms:W3CDTF">2017-02-28T11:31:00Z</dcterms:modified>
</cp:coreProperties>
</file>